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AE" w:rsidRDefault="002A6AAE" w:rsidP="002A6AAE">
      <w:pPr>
        <w:pStyle w:val="1"/>
        <w:framePr w:w="9509" w:h="671" w:hRule="exact" w:wrap="around" w:vAnchor="page" w:hAnchor="page" w:x="1186" w:y="886"/>
        <w:shd w:val="clear" w:color="auto" w:fill="auto"/>
        <w:spacing w:after="0" w:line="307" w:lineRule="exact"/>
        <w:ind w:left="2500" w:right="560"/>
        <w:jc w:val="center"/>
        <w:rPr>
          <w:b/>
          <w:i/>
          <w:color w:val="C00000"/>
          <w:u w:val="single"/>
          <w:lang w:eastAsia="ru-RU" w:bidi="ru-RU"/>
        </w:rPr>
      </w:pPr>
      <w:bookmarkStart w:id="0" w:name="_GoBack"/>
      <w:r w:rsidRPr="00EA7575">
        <w:rPr>
          <w:b/>
          <w:i/>
          <w:color w:val="C00000"/>
          <w:u w:val="single"/>
          <w:lang w:eastAsia="ru-RU" w:bidi="ru-RU"/>
        </w:rPr>
        <w:t>Материалы о необходимости проведения профилактики и</w:t>
      </w:r>
    </w:p>
    <w:p w:rsidR="002A6AAE" w:rsidRPr="00EA7575" w:rsidRDefault="002A6AAE" w:rsidP="002A6AAE">
      <w:pPr>
        <w:pStyle w:val="1"/>
        <w:framePr w:w="9509" w:h="671" w:hRule="exact" w:wrap="around" w:vAnchor="page" w:hAnchor="page" w:x="1186" w:y="886"/>
        <w:shd w:val="clear" w:color="auto" w:fill="auto"/>
        <w:spacing w:after="0" w:line="307" w:lineRule="exact"/>
        <w:ind w:left="2500" w:right="560"/>
        <w:jc w:val="center"/>
        <w:rPr>
          <w:b/>
          <w:i/>
          <w:color w:val="C00000"/>
          <w:u w:val="single"/>
        </w:rPr>
      </w:pPr>
      <w:r w:rsidRPr="00EA7575">
        <w:rPr>
          <w:b/>
          <w:i/>
          <w:color w:val="C00000"/>
          <w:u w:val="single"/>
          <w:lang w:eastAsia="ru-RU" w:bidi="ru-RU"/>
        </w:rPr>
        <w:t>раннего выявления туберкулёза среди населения</w:t>
      </w:r>
    </w:p>
    <w:bookmarkEnd w:id="0"/>
    <w:p w:rsidR="002A6AAE" w:rsidRDefault="002A6AAE" w:rsidP="002A6AAE">
      <w:pPr>
        <w:pStyle w:val="1"/>
        <w:framePr w:w="9509" w:h="1583" w:hRule="exact" w:wrap="around" w:vAnchor="page" w:hAnchor="page" w:x="1171" w:y="199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Туберкулез является в мире широко распространенным инфекционным заболеванием человека и животных, вызываемым микобактериями туберкулезного комплекса </w:t>
      </w:r>
      <w:r w:rsidRPr="00EA7575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Mycobacterium</w:t>
      </w:r>
      <w:r w:rsidRPr="00EA7575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tuberculosis</w:t>
      </w:r>
      <w:r w:rsidRPr="00EA7575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complex</w:t>
      </w:r>
      <w:r w:rsidRPr="00EA7575">
        <w:rPr>
          <w:color w:val="000000"/>
          <w:lang w:bidi="en-US"/>
        </w:rPr>
        <w:t>-</w:t>
      </w:r>
      <w:r>
        <w:rPr>
          <w:color w:val="000000"/>
          <w:lang w:val="en-US" w:bidi="en-US"/>
        </w:rPr>
        <w:t>MTBC</w:t>
      </w:r>
      <w:r w:rsidRPr="00EA7575">
        <w:rPr>
          <w:color w:val="000000"/>
          <w:lang w:bidi="en-US"/>
        </w:rPr>
        <w:t xml:space="preserve">), </w:t>
      </w:r>
      <w:r>
        <w:rPr>
          <w:color w:val="000000"/>
          <w:lang w:eastAsia="ru-RU" w:bidi="ru-RU"/>
        </w:rPr>
        <w:t xml:space="preserve">преимущественно </w:t>
      </w:r>
      <w:r>
        <w:rPr>
          <w:rStyle w:val="0pt"/>
        </w:rPr>
        <w:t>Mycobacterium</w:t>
      </w:r>
      <w:r w:rsidRPr="00EA7575">
        <w:rPr>
          <w:rStyle w:val="0pt"/>
          <w:lang w:val="ru-RU"/>
        </w:rPr>
        <w:t xml:space="preserve"> </w:t>
      </w:r>
      <w:r>
        <w:rPr>
          <w:rStyle w:val="0pt"/>
        </w:rPr>
        <w:t>tuberculosis</w:t>
      </w:r>
      <w:r w:rsidRPr="00EA7575">
        <w:rPr>
          <w:rStyle w:val="0pt"/>
          <w:lang w:val="ru-RU"/>
        </w:rPr>
        <w:t>.</w:t>
      </w:r>
      <w:r w:rsidRPr="00EA7575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Синонимы: Микобактерия туберкулёза, туберкулёзная палочка, палочка Коха, бацилла Коха, туберкулёзная бацилла.</w:t>
      </w:r>
    </w:p>
    <w:p w:rsidR="002A6AAE" w:rsidRDefault="002A6AAE" w:rsidP="002A6AAE">
      <w:pPr>
        <w:pStyle w:val="a5"/>
        <w:framePr w:w="7858" w:h="283" w:hRule="exact" w:wrap="around" w:vAnchor="page" w:hAnchor="page" w:x="1921" w:y="6826"/>
        <w:shd w:val="clear" w:color="auto" w:fill="auto"/>
        <w:spacing w:line="230" w:lineRule="exact"/>
      </w:pPr>
      <w:r>
        <w:rPr>
          <w:color w:val="000000"/>
          <w:lang w:val="ru-RU" w:eastAsia="ru-RU" w:bidi="ru-RU"/>
        </w:rPr>
        <w:t>Источник</w:t>
      </w:r>
      <w:r w:rsidRPr="00EA7575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изображений</w:t>
      </w:r>
      <w:r w:rsidRPr="00EA7575">
        <w:rPr>
          <w:color w:val="000000"/>
          <w:lang w:eastAsia="ru-RU" w:bidi="ru-RU"/>
        </w:rPr>
        <w:t xml:space="preserve">: </w:t>
      </w:r>
      <w:r>
        <w:rPr>
          <w:color w:val="000000"/>
        </w:rPr>
        <w:t xml:space="preserve">World of Health Science </w:t>
      </w:r>
      <w:r>
        <w:rPr>
          <w:color w:val="000000"/>
          <w:lang w:val="ru-RU" w:eastAsia="ru-RU" w:bidi="ru-RU"/>
        </w:rPr>
        <w:t>и</w:t>
      </w:r>
      <w:r w:rsidRPr="00EA7575">
        <w:rPr>
          <w:color w:val="000000"/>
          <w:lang w:eastAsia="ru-RU" w:bidi="ru-RU"/>
        </w:rPr>
        <w:t xml:space="preserve"> </w:t>
      </w:r>
      <w:r>
        <w:rPr>
          <w:color w:val="000000"/>
        </w:rPr>
        <w:t>RawMilkFacts.com</w:t>
      </w:r>
    </w:p>
    <w:p w:rsidR="002A6AAE" w:rsidRDefault="002A6AAE" w:rsidP="002A6AAE">
      <w:pPr>
        <w:pStyle w:val="1"/>
        <w:framePr w:w="9509" w:h="6772" w:hRule="exact" w:wrap="around" w:vAnchor="page" w:hAnchor="page" w:x="1126" w:y="748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>Возбудители туберкулеза сохраняют свою жизнеспособность в сухом состоянии до 3 лет, при нагревании выдерживают температуру выше 80</w:t>
      </w:r>
      <w:proofErr w:type="gramStart"/>
      <w:r>
        <w:rPr>
          <w:color w:val="000000"/>
          <w:lang w:eastAsia="ru-RU" w:bidi="ru-RU"/>
        </w:rPr>
        <w:t xml:space="preserve"> °С</w:t>
      </w:r>
      <w:proofErr w:type="gramEnd"/>
      <w:r>
        <w:rPr>
          <w:color w:val="000000"/>
          <w:lang w:eastAsia="ru-RU" w:bidi="ru-RU"/>
        </w:rPr>
        <w:t xml:space="preserve"> (микобактерии туберкулеза, находящиеся в мокроте, выживают при кипячении в пределах 5 минут, устойчивы к органическим и неорганическим кислотам, щелочам, многим окислителям, проявляют устойчивость к воздействию спиртов, ацетона, четвертичных аммониевых соединений (ЧАС), нечувствительны к рассеянному солнечному свету).</w:t>
      </w:r>
    </w:p>
    <w:p w:rsidR="002A6AAE" w:rsidRDefault="002A6AAE" w:rsidP="002A6AAE">
      <w:pPr>
        <w:pStyle w:val="1"/>
        <w:framePr w:w="9509" w:h="6772" w:hRule="exact" w:wrap="around" w:vAnchor="page" w:hAnchor="page" w:x="1126" w:y="748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Источником инфекции являются больные активной формой туберкулеза люди (99%) и животные (крупный рогатый скот, козы, собаки не более 1% случаев). </w:t>
      </w:r>
      <w:proofErr w:type="spellStart"/>
      <w:r>
        <w:rPr>
          <w:color w:val="000000"/>
          <w:lang w:eastAsia="ru-RU" w:bidi="ru-RU"/>
        </w:rPr>
        <w:t>Эпидемиологически</w:t>
      </w:r>
      <w:proofErr w:type="spellEnd"/>
      <w:r>
        <w:rPr>
          <w:color w:val="000000"/>
          <w:lang w:eastAsia="ru-RU" w:bidi="ru-RU"/>
        </w:rPr>
        <w:t xml:space="preserve"> наиболее опасными являются больные туберкулезом легких с наличием </w:t>
      </w:r>
      <w:proofErr w:type="spellStart"/>
      <w:r>
        <w:rPr>
          <w:color w:val="000000"/>
          <w:lang w:eastAsia="ru-RU" w:bidi="ru-RU"/>
        </w:rPr>
        <w:t>бактериовыделения</w:t>
      </w:r>
      <w:proofErr w:type="spellEnd"/>
      <w:r>
        <w:rPr>
          <w:color w:val="000000"/>
          <w:lang w:eastAsia="ru-RU" w:bidi="ru-RU"/>
        </w:rPr>
        <w:t xml:space="preserve"> (так называемая «открытая форма» туберкулёза) и/или с деструктивными процессами (полостями распада) в легких.</w:t>
      </w:r>
    </w:p>
    <w:p w:rsidR="002A6AAE" w:rsidRDefault="002A6AAE" w:rsidP="002A6AAE">
      <w:pPr>
        <w:pStyle w:val="1"/>
        <w:framePr w:w="9509" w:h="6772" w:hRule="exact" w:wrap="around" w:vAnchor="page" w:hAnchor="page" w:x="1126" w:y="748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>Резервуар туберкулезной инфекции - больные туберкулезом и инфицированные микобактерией туберкулеза люди, животные и птицы.</w:t>
      </w:r>
    </w:p>
    <w:p w:rsidR="002A6AAE" w:rsidRDefault="002A6AAE" w:rsidP="002A6AAE">
      <w:pPr>
        <w:pStyle w:val="1"/>
        <w:framePr w:w="9509" w:h="6772" w:hRule="exact" w:wrap="around" w:vAnchor="page" w:hAnchor="page" w:x="1126" w:y="748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Основным механизмом передачи возбудителя инфекции является </w:t>
      </w:r>
      <w:proofErr w:type="gramStart"/>
      <w:r>
        <w:rPr>
          <w:color w:val="000000"/>
          <w:lang w:eastAsia="ru-RU" w:bidi="ru-RU"/>
        </w:rPr>
        <w:t>воздушно-капельный</w:t>
      </w:r>
      <w:proofErr w:type="gramEnd"/>
      <w:r>
        <w:rPr>
          <w:color w:val="000000"/>
          <w:lang w:eastAsia="ru-RU" w:bidi="ru-RU"/>
        </w:rPr>
        <w:t xml:space="preserve"> (аэрозольный). Возможны также воздушно-пылевой, </w:t>
      </w:r>
      <w:proofErr w:type="gramStart"/>
      <w:r>
        <w:rPr>
          <w:color w:val="000000"/>
          <w:lang w:eastAsia="ru-RU" w:bidi="ru-RU"/>
        </w:rPr>
        <w:t>контактный</w:t>
      </w:r>
      <w:proofErr w:type="gramEnd"/>
      <w:r>
        <w:rPr>
          <w:color w:val="000000"/>
          <w:lang w:eastAsia="ru-RU" w:bidi="ru-RU"/>
        </w:rPr>
        <w:t>, алиментарный, вертикальный механизмы передачи.</w:t>
      </w:r>
    </w:p>
    <w:p w:rsidR="002A6AAE" w:rsidRDefault="002A6AAE" w:rsidP="002A6AAE">
      <w:pPr>
        <w:pStyle w:val="1"/>
        <w:framePr w:w="9509" w:h="6772" w:hRule="exact" w:wrap="around" w:vAnchor="page" w:hAnchor="page" w:x="1126" w:y="748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>Основным фактором передачи возбудителя туберкулезной инфекции является воздушная среда. Факторами передачи инфекции могут также являться инфицированные материалы от больных, контаминированные возбудителем объекты внешней среды (постельное бельё, предметы одежды, средства гигиены и т.п.).</w:t>
      </w:r>
    </w:p>
    <w:p w:rsidR="002A6AAE" w:rsidRDefault="002A6AAE" w:rsidP="002A6AAE">
      <w:pPr>
        <w:framePr w:wrap="none" w:vAnchor="page" w:hAnchor="page" w:x="1471" w:y="39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86375" cy="1828800"/>
            <wp:effectExtent l="0" t="0" r="9525" b="0"/>
            <wp:docPr id="1" name="Рисунок 1" descr="C:\Users\Пользователь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AE" w:rsidRDefault="002A6AAE" w:rsidP="002A6AAE">
      <w:pPr>
        <w:rPr>
          <w:sz w:val="2"/>
          <w:szCs w:val="2"/>
        </w:rPr>
        <w:sectPr w:rsidR="002A6AA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lastRenderedPageBreak/>
        <w:t>По данным Всемирной организации здравоохранения (ВОЗ), ежегодно в мире заболевает туберкулёзом около 10 миллионов человек (в том числе 1 млн. детей) и до 1,3 млн. человек умирает от туберкулёза.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>В мире проживают 1,7 миллиарда человек (или более 1/3 населения Земли), инфицированных туберкулёзом.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>Несмотря на то, что на протяжении последних лет в Свердловской области отмечается положительная тенденция к снижению заболеваемости населения туберкулёзом, ситуация остаётся напряжённой, так как число заболевших ещё превышает уровень Российской Федерации. Таким образом, сохраняется риск инфицирования и заболевания туберкулёзом среди всех групп населения и, особенно, среди детей и подростков.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На сегодняшний день до 70-80% лиц старше 30 лет уже инфицированы палочкой Коха или микобактерией - возбудителем туберкулёза, который может активироваться и привести к развитию болезни. </w:t>
      </w:r>
      <w:proofErr w:type="gramStart"/>
      <w:r>
        <w:rPr>
          <w:color w:val="000000"/>
          <w:lang w:eastAsia="ru-RU" w:bidi="ru-RU"/>
        </w:rPr>
        <w:t xml:space="preserve">Активация туберкулёза происходит в результате снижения защитных сил организма при воздействия на него неблагоприятных факторов, таких как курение, употребление алкоголя и наркотиков, ВИЧ, запущенные острые и хронические заболевания (грипп, сахарный диабет, болезни органов дыхания и пищеварения и т.п.), пониженное питание, переохлаждение, хронический стресс и, конечно же, повторное инфицирование микобактериями в результате тесного контакта с больным туберкулёзом </w:t>
      </w:r>
      <w:proofErr w:type="spellStart"/>
      <w:r>
        <w:rPr>
          <w:color w:val="000000"/>
          <w:lang w:eastAsia="ru-RU" w:bidi="ru-RU"/>
        </w:rPr>
        <w:t>бактериовыделителем</w:t>
      </w:r>
      <w:proofErr w:type="spellEnd"/>
      <w:r>
        <w:rPr>
          <w:color w:val="000000"/>
          <w:lang w:eastAsia="ru-RU" w:bidi="ru-RU"/>
        </w:rPr>
        <w:t xml:space="preserve"> (с открытой</w:t>
      </w:r>
      <w:proofErr w:type="gramEnd"/>
      <w:r>
        <w:rPr>
          <w:color w:val="000000"/>
          <w:lang w:eastAsia="ru-RU" w:bidi="ru-RU"/>
        </w:rPr>
        <w:t xml:space="preserve"> формой туберкулёза).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>Как в Российской Федерации, так и в Свердловской области действует многоуровневая система мероприятий, направленная на предотвращение распространения туберкулёза среди населения, включающая профилактику, выявление и лечение заболевания.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>Вакцинация БЦЖ, которая является обязательной, позволяет снизить в 15 раз риск инфицирования и в 8 раз риск заболевания туберкулёзом, и предотвратить развитие опасных и летальных форм заболевания среди детского населения. Вакцинация БЦЖ включена в Национальный календарь профилактических прививок Российской Федерации и Свердловской области и показана каждому новорожденному в роддоме на 3 - 7 сутки жизни.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>Для своевременного выявления инфицирования микобактериями туберкулёза с целью проведения профилактических мероприятий, предотвращающих развитие заболевания, ежегодно проводятся массовое обследование детского населения с применением кожных иммунодиагностических проб, таких как проба с туберкулином (проба Манту) и проба с аллергеном туберкулёзным рекомбинантным (</w:t>
      </w:r>
      <w:proofErr w:type="spellStart"/>
      <w:r>
        <w:rPr>
          <w:color w:val="000000"/>
          <w:lang w:eastAsia="ru-RU" w:bidi="ru-RU"/>
        </w:rPr>
        <w:t>Диаскинтест</w:t>
      </w:r>
      <w:proofErr w:type="spellEnd"/>
      <w:r>
        <w:rPr>
          <w:color w:val="000000"/>
          <w:lang w:eastAsia="ru-RU" w:bidi="ru-RU"/>
        </w:rPr>
        <w:t>).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Вакцинированным против туберкулеза детям с 12-месячного возраста до 7 лет включительно, проводят внутрикожную аллергическую пробу с туберкулином (далее - проба Манту) 1 раз в год. С 8 лет и до достижения возраста 18 лет - внутрикожную аллергическую пробу с аллергеном туберкулёзным рекомбинантным (далее - </w:t>
      </w:r>
      <w:proofErr w:type="spellStart"/>
      <w:r>
        <w:rPr>
          <w:color w:val="000000"/>
          <w:lang w:eastAsia="ru-RU" w:bidi="ru-RU"/>
        </w:rPr>
        <w:t>Диаскинтест</w:t>
      </w:r>
      <w:proofErr w:type="spellEnd"/>
      <w:r>
        <w:rPr>
          <w:color w:val="000000"/>
          <w:lang w:eastAsia="ru-RU" w:bidi="ru-RU"/>
        </w:rPr>
        <w:t>).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firstLine="820"/>
        <w:jc w:val="both"/>
      </w:pPr>
      <w:r>
        <w:rPr>
          <w:color w:val="000000"/>
          <w:lang w:eastAsia="ru-RU" w:bidi="ru-RU"/>
        </w:rPr>
        <w:t>Два раза в год иммунодиагностика проводится детям из групп риска, в том</w:t>
      </w:r>
    </w:p>
    <w:p w:rsidR="002A6AAE" w:rsidRDefault="002A6AAE" w:rsidP="002A6AAE">
      <w:pPr>
        <w:pStyle w:val="1"/>
        <w:framePr w:w="9499" w:h="13564" w:hRule="exact" w:wrap="around" w:vAnchor="page" w:hAnchor="page" w:x="1231" w:y="1246"/>
        <w:shd w:val="clear" w:color="auto" w:fill="auto"/>
        <w:spacing w:after="0" w:line="302" w:lineRule="exact"/>
        <w:ind w:left="40" w:firstLine="0"/>
      </w:pPr>
      <w:proofErr w:type="gramStart"/>
      <w:r>
        <w:rPr>
          <w:color w:val="000000"/>
          <w:lang w:eastAsia="ru-RU" w:bidi="ru-RU"/>
        </w:rPr>
        <w:t>числе</w:t>
      </w:r>
      <w:proofErr w:type="gramEnd"/>
      <w:r>
        <w:rPr>
          <w:color w:val="000000"/>
          <w:lang w:eastAsia="ru-RU" w:bidi="ru-RU"/>
        </w:rPr>
        <w:t>:</w:t>
      </w:r>
    </w:p>
    <w:p w:rsidR="002A6AAE" w:rsidRDefault="002A6AAE" w:rsidP="002A6AAE">
      <w:pPr>
        <w:rPr>
          <w:sz w:val="2"/>
          <w:szCs w:val="2"/>
        </w:rPr>
        <w:sectPr w:rsidR="002A6AA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A6AAE" w:rsidRDefault="002A6AAE" w:rsidP="002A6AAE">
      <w:pPr>
        <w:pStyle w:val="1"/>
        <w:framePr w:w="9490" w:h="14911" w:hRule="exact" w:wrap="around" w:vAnchor="page" w:hAnchor="page" w:x="1186" w:y="571"/>
        <w:numPr>
          <w:ilvl w:val="0"/>
          <w:numId w:val="1"/>
        </w:numPr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lastRenderedPageBreak/>
        <w:t xml:space="preserve"> детям, не вакцинированным против туберкулеза по медицинским противопоказаниям, до получения ребенком прививки против туберкулеза;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numPr>
          <w:ilvl w:val="0"/>
          <w:numId w:val="1"/>
        </w:numPr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 детям, больным хроническими неспецифическими заболеваниями органов дыхания, желудочно-кишечного тракта, сахарным диабетом;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numPr>
          <w:ilvl w:val="0"/>
          <w:numId w:val="1"/>
        </w:numPr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 детям, получающим кортикостероидную, лучевую и цитостатическую терапию;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numPr>
          <w:ilvl w:val="0"/>
          <w:numId w:val="1"/>
        </w:numPr>
        <w:shd w:val="clear" w:color="auto" w:fill="auto"/>
        <w:spacing w:after="0" w:line="307" w:lineRule="exact"/>
        <w:ind w:left="40" w:firstLine="820"/>
        <w:jc w:val="both"/>
      </w:pPr>
      <w:r>
        <w:rPr>
          <w:color w:val="000000"/>
          <w:lang w:eastAsia="ru-RU" w:bidi="ru-RU"/>
        </w:rPr>
        <w:t xml:space="preserve"> ВИЧ-инфицированным детям.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Проведение иммунодиагностики осуществляется бесплатно средними медицинскими работниками детских, подростковых, </w:t>
      </w:r>
      <w:proofErr w:type="spellStart"/>
      <w:r>
        <w:rPr>
          <w:color w:val="000000"/>
          <w:lang w:eastAsia="ru-RU" w:bidi="ru-RU"/>
        </w:rPr>
        <w:t>амбулаторно</w:t>
      </w:r>
      <w:r>
        <w:rPr>
          <w:color w:val="000000"/>
          <w:lang w:eastAsia="ru-RU" w:bidi="ru-RU"/>
        </w:rPr>
        <w:softHyphen/>
        <w:t>поликлинических</w:t>
      </w:r>
      <w:proofErr w:type="spellEnd"/>
      <w:r>
        <w:rPr>
          <w:color w:val="000000"/>
          <w:lang w:eastAsia="ru-RU" w:bidi="ru-RU"/>
        </w:rPr>
        <w:t xml:space="preserve"> и оздоровительных организаций, прошедшими обучение в противотуберкулезных медицинских организациях и имеющими допуск.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Не допускается проведение иммунодиагностики на дому, а также в детских и подростковых организациях в период карантина по инфекционным заболеваниям. Постановка проб Манту, </w:t>
      </w:r>
      <w:proofErr w:type="spellStart"/>
      <w:r>
        <w:rPr>
          <w:color w:val="000000"/>
          <w:lang w:eastAsia="ru-RU" w:bidi="ru-RU"/>
        </w:rPr>
        <w:t>Диаскинтеста</w:t>
      </w:r>
      <w:proofErr w:type="spellEnd"/>
      <w:r>
        <w:rPr>
          <w:color w:val="000000"/>
          <w:lang w:eastAsia="ru-RU" w:bidi="ru-RU"/>
        </w:rPr>
        <w:t xml:space="preserve"> проводится до профилактических прививок.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Интервал между профилактической прививкой, биологической диагностической пробой и пробой Манту, </w:t>
      </w:r>
      <w:proofErr w:type="spellStart"/>
      <w:r>
        <w:rPr>
          <w:color w:val="000000"/>
          <w:lang w:eastAsia="ru-RU" w:bidi="ru-RU"/>
        </w:rPr>
        <w:t>Диаскинтестом</w:t>
      </w:r>
      <w:proofErr w:type="spellEnd"/>
      <w:r>
        <w:rPr>
          <w:color w:val="000000"/>
          <w:lang w:eastAsia="ru-RU" w:bidi="ru-RU"/>
        </w:rPr>
        <w:t xml:space="preserve"> должен быть не менее одного месяца. В день постановки проб проводится медицинский осмотр детей. Результат пробы оценивается медицинским работником через 72 часа.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Дети с признаками инфицирования и подозрением на туберкулёз по результатам проб (Манту, </w:t>
      </w:r>
      <w:proofErr w:type="spellStart"/>
      <w:r>
        <w:rPr>
          <w:color w:val="000000"/>
          <w:lang w:eastAsia="ru-RU" w:bidi="ru-RU"/>
        </w:rPr>
        <w:t>Диаскинтест</w:t>
      </w:r>
      <w:proofErr w:type="spellEnd"/>
      <w:r>
        <w:rPr>
          <w:color w:val="000000"/>
          <w:lang w:eastAsia="ru-RU" w:bidi="ru-RU"/>
        </w:rPr>
        <w:t>), направляются на консультацию к специалисту фтизиатру с целью исключения заболевания, в течение 6 дней с момента оценки результата медицинским работником.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Дети,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Манту, </w:t>
      </w:r>
      <w:proofErr w:type="spellStart"/>
      <w:r>
        <w:rPr>
          <w:color w:val="000000"/>
          <w:lang w:eastAsia="ru-RU" w:bidi="ru-RU"/>
        </w:rPr>
        <w:t>Диаскинтеста</w:t>
      </w:r>
      <w:proofErr w:type="spellEnd"/>
      <w:r>
        <w:rPr>
          <w:color w:val="000000"/>
          <w:lang w:eastAsia="ru-RU" w:bidi="ru-RU"/>
        </w:rPr>
        <w:t xml:space="preserve"> заключение фтизиатра об отсутствии заболевания туберкулезом, не допускаются к присутствию в детских организациях.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firstLine="820"/>
        <w:jc w:val="both"/>
      </w:pPr>
      <w:r>
        <w:rPr>
          <w:color w:val="000000"/>
          <w:lang w:eastAsia="ru-RU" w:bidi="ru-RU"/>
        </w:rPr>
        <w:t>В целях раннего выявления туберкулеза у подростков проводятся: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numPr>
          <w:ilvl w:val="0"/>
          <w:numId w:val="1"/>
        </w:numPr>
        <w:shd w:val="clear" w:color="auto" w:fill="auto"/>
        <w:spacing w:after="0" w:line="307" w:lineRule="exact"/>
        <w:ind w:left="40" w:firstLine="820"/>
        <w:jc w:val="both"/>
      </w:pPr>
      <w:r>
        <w:rPr>
          <w:color w:val="000000"/>
          <w:lang w:eastAsia="ru-RU" w:bidi="ru-RU"/>
        </w:rPr>
        <w:t xml:space="preserve"> плановая ежегодная иммунодиагностика туберкулёза;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numPr>
          <w:ilvl w:val="0"/>
          <w:numId w:val="1"/>
        </w:numPr>
        <w:shd w:val="clear" w:color="auto" w:fill="auto"/>
        <w:spacing w:after="0" w:line="307" w:lineRule="exact"/>
        <w:ind w:left="40" w:firstLine="820"/>
        <w:jc w:val="both"/>
      </w:pPr>
      <w:r>
        <w:rPr>
          <w:color w:val="000000"/>
          <w:lang w:eastAsia="ru-RU" w:bidi="ru-RU"/>
        </w:rPr>
        <w:t xml:space="preserve"> периодические </w:t>
      </w:r>
      <w:proofErr w:type="spellStart"/>
      <w:r>
        <w:rPr>
          <w:color w:val="000000"/>
          <w:lang w:eastAsia="ru-RU" w:bidi="ru-RU"/>
        </w:rPr>
        <w:t>рентгенфлюорографические</w:t>
      </w:r>
      <w:proofErr w:type="spellEnd"/>
      <w:r>
        <w:rPr>
          <w:color w:val="000000"/>
          <w:lang w:eastAsia="ru-RU" w:bidi="ru-RU"/>
        </w:rPr>
        <w:t xml:space="preserve"> осмотры.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Подростки с подозрением на туберкулёз, с признаками инфицирования по результатам пробы </w:t>
      </w:r>
      <w:proofErr w:type="spellStart"/>
      <w:r>
        <w:rPr>
          <w:color w:val="000000"/>
          <w:lang w:eastAsia="ru-RU" w:bidi="ru-RU"/>
        </w:rPr>
        <w:t>Диаскинтест</w:t>
      </w:r>
      <w:proofErr w:type="spellEnd"/>
      <w:r>
        <w:rPr>
          <w:color w:val="000000"/>
          <w:lang w:eastAsia="ru-RU" w:bidi="ru-RU"/>
        </w:rPr>
        <w:t xml:space="preserve"> и/или наличием изменений на рентгенограмме направляются на консультацию к специалисту фтизиатру для проведения углублённого обследования с целью исключения заболевания туберкулёзом.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 xml:space="preserve">С целью раннего выявления туберкулёза среди лиц старше 15 лет ежегодно проводятся массовые </w:t>
      </w:r>
      <w:proofErr w:type="spellStart"/>
      <w:r>
        <w:rPr>
          <w:color w:val="000000"/>
          <w:lang w:eastAsia="ru-RU" w:bidi="ru-RU"/>
        </w:rPr>
        <w:t>рентгенфлюорографические</w:t>
      </w:r>
      <w:proofErr w:type="spellEnd"/>
      <w:r>
        <w:rPr>
          <w:color w:val="000000"/>
          <w:lang w:eastAsia="ru-RU" w:bidi="ru-RU"/>
        </w:rPr>
        <w:t xml:space="preserve"> осмотры населения. Лица с наличием изменений на рентгенограмме, с подозрением на туберкулёз направляются на консультацию к специалисту фтизиатру для проведения углублённого обследования с целью исключения заболевания.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40" w:right="40" w:firstLine="820"/>
        <w:jc w:val="both"/>
      </w:pPr>
      <w:r>
        <w:rPr>
          <w:color w:val="000000"/>
          <w:lang w:eastAsia="ru-RU" w:bidi="ru-RU"/>
        </w:rPr>
        <w:t>В случае подтверждения заболевания туберкулёзом пациент госпитализируется в специализированное противотуберкулёзное учреждение, где проходит комплексное лечение.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20" w:right="20" w:firstLine="800"/>
        <w:jc w:val="both"/>
      </w:pPr>
      <w:proofErr w:type="gramStart"/>
      <w:r>
        <w:rPr>
          <w:color w:val="000000"/>
          <w:lang w:eastAsia="ru-RU" w:bidi="ru-RU"/>
        </w:rPr>
        <w:t>Больной туберкулёзом является потенциально опасным и несёт риск заражения окружающих, в связи с чем, по месту жительства, работы, учёбы заболевшего проводятся противоэпидемические мероприятия, направленные на предотвращение новых случаев заболеваний и включающие в себя влажную и камерную дезинфекцию помещений, вещей, предметов быта, обследование контактных лиц и проведение медикаментозной профилактики, значительно снижающей риск развития заболевания.</w:t>
      </w:r>
      <w:proofErr w:type="gramEnd"/>
      <w:r>
        <w:rPr>
          <w:color w:val="000000"/>
          <w:lang w:eastAsia="ru-RU" w:bidi="ru-RU"/>
        </w:rPr>
        <w:t xml:space="preserve"> Контактные лица подлежат динамическому наблюдению у фтизиатра.</w:t>
      </w:r>
    </w:p>
    <w:p w:rsidR="002A6AAE" w:rsidRDefault="002A6AAE" w:rsidP="002A6AAE">
      <w:pPr>
        <w:pStyle w:val="1"/>
        <w:framePr w:w="9490" w:h="14911" w:hRule="exact" w:wrap="around" w:vAnchor="page" w:hAnchor="page" w:x="1186" w:y="571"/>
        <w:shd w:val="clear" w:color="auto" w:fill="auto"/>
        <w:spacing w:after="0" w:line="307" w:lineRule="exact"/>
        <w:ind w:left="20" w:right="20" w:firstLine="800"/>
        <w:jc w:val="both"/>
      </w:pPr>
      <w:r>
        <w:rPr>
          <w:color w:val="000000"/>
          <w:lang w:eastAsia="ru-RU" w:bidi="ru-RU"/>
        </w:rPr>
        <w:t xml:space="preserve">Туберкулёз - излечимое заболевание и по окончании лечения пациент возвращается к работе, учёбе и </w:t>
      </w:r>
      <w:proofErr w:type="gramStart"/>
      <w:r>
        <w:rPr>
          <w:color w:val="000000"/>
          <w:lang w:eastAsia="ru-RU" w:bidi="ru-RU"/>
        </w:rPr>
        <w:t>привычному образу</w:t>
      </w:r>
      <w:proofErr w:type="gramEnd"/>
      <w:r>
        <w:rPr>
          <w:color w:val="000000"/>
          <w:lang w:eastAsia="ru-RU" w:bidi="ru-RU"/>
        </w:rPr>
        <w:t xml:space="preserve"> жизни.</w:t>
      </w:r>
    </w:p>
    <w:p w:rsidR="002A6AAE" w:rsidRDefault="002A6AAE" w:rsidP="002A6AAE">
      <w:pPr>
        <w:rPr>
          <w:sz w:val="2"/>
          <w:szCs w:val="2"/>
        </w:rPr>
        <w:sectPr w:rsidR="002A6AA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26BA" w:rsidRDefault="006B26BA"/>
    <w:sectPr w:rsidR="006B2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A6955"/>
    <w:multiLevelType w:val="multilevel"/>
    <w:tmpl w:val="7F56A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AE"/>
    <w:rsid w:val="002A6AAE"/>
    <w:rsid w:val="006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A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A6A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2A6AAE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2A6AAE"/>
    <w:rPr>
      <w:rFonts w:ascii="Times New Roman" w:eastAsia="Times New Roman" w:hAnsi="Times New Roman" w:cs="Times New Roman"/>
      <w:i/>
      <w:iCs/>
      <w:spacing w:val="7"/>
      <w:sz w:val="23"/>
      <w:szCs w:val="23"/>
      <w:shd w:val="clear" w:color="auto" w:fill="FFFFFF"/>
      <w:lang w:val="en-US" w:bidi="en-US"/>
    </w:rPr>
  </w:style>
  <w:style w:type="paragraph" w:customStyle="1" w:styleId="1">
    <w:name w:val="Основной текст1"/>
    <w:basedOn w:val="a"/>
    <w:link w:val="a3"/>
    <w:rsid w:val="002A6AAE"/>
    <w:pPr>
      <w:shd w:val="clear" w:color="auto" w:fill="FFFFFF"/>
      <w:spacing w:after="300" w:line="326" w:lineRule="exact"/>
      <w:ind w:hanging="108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a5">
    <w:name w:val="Подпись к картинке"/>
    <w:basedOn w:val="a"/>
    <w:link w:val="a4"/>
    <w:rsid w:val="002A6A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7"/>
      <w:sz w:val="23"/>
      <w:szCs w:val="23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2A6A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AA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A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A6A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2A6AAE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2A6AAE"/>
    <w:rPr>
      <w:rFonts w:ascii="Times New Roman" w:eastAsia="Times New Roman" w:hAnsi="Times New Roman" w:cs="Times New Roman"/>
      <w:i/>
      <w:iCs/>
      <w:spacing w:val="7"/>
      <w:sz w:val="23"/>
      <w:szCs w:val="23"/>
      <w:shd w:val="clear" w:color="auto" w:fill="FFFFFF"/>
      <w:lang w:val="en-US" w:bidi="en-US"/>
    </w:rPr>
  </w:style>
  <w:style w:type="paragraph" w:customStyle="1" w:styleId="1">
    <w:name w:val="Основной текст1"/>
    <w:basedOn w:val="a"/>
    <w:link w:val="a3"/>
    <w:rsid w:val="002A6AAE"/>
    <w:pPr>
      <w:shd w:val="clear" w:color="auto" w:fill="FFFFFF"/>
      <w:spacing w:after="300" w:line="326" w:lineRule="exact"/>
      <w:ind w:hanging="108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a5">
    <w:name w:val="Подпись к картинке"/>
    <w:basedOn w:val="a"/>
    <w:link w:val="a4"/>
    <w:rsid w:val="002A6A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7"/>
      <w:sz w:val="23"/>
      <w:szCs w:val="23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2A6A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AA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2019-04-23T10:18:00Z</dcterms:created>
  <dcterms:modified xsi:type="dcterms:W3CDTF">2019-04-23T10:19:00Z</dcterms:modified>
</cp:coreProperties>
</file>